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BA" w:rsidRPr="002803A5" w:rsidRDefault="002803A5" w:rsidP="002803A5">
      <w:pPr>
        <w:shd w:val="clear" w:color="auto" w:fill="DEEAF6" w:themeFill="accent1" w:themeFillTint="33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63836"/>
          <w:sz w:val="32"/>
          <w:szCs w:val="32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kern w:val="36"/>
          <w:sz w:val="32"/>
          <w:szCs w:val="32"/>
          <w:bdr w:val="none" w:sz="0" w:space="0" w:color="auto" w:frame="1"/>
          <w:lang w:eastAsia="ru-RU"/>
        </w:rPr>
        <w:t xml:space="preserve">КАК ПИСАТЬ </w:t>
      </w:r>
      <w:proofErr w:type="gramStart"/>
      <w:r w:rsidRPr="002803A5">
        <w:rPr>
          <w:rFonts w:ascii="Times New Roman" w:eastAsia="Times New Roman" w:hAnsi="Times New Roman" w:cs="Times New Roman"/>
          <w:b/>
          <w:bCs/>
          <w:color w:val="363836"/>
          <w:kern w:val="36"/>
          <w:sz w:val="32"/>
          <w:szCs w:val="32"/>
          <w:bdr w:val="none" w:sz="0" w:space="0" w:color="auto" w:frame="1"/>
          <w:lang w:eastAsia="ru-RU"/>
        </w:rPr>
        <w:t>ИНДИВИДУАЛЬНЫЙ ПРОЕКТ</w:t>
      </w:r>
      <w:proofErr w:type="gramEnd"/>
    </w:p>
    <w:p w:rsidR="008440BA" w:rsidRPr="002803A5" w:rsidRDefault="008440BA" w:rsidP="002803A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Введение. Основная часть. Заключение</w:t>
      </w:r>
    </w:p>
    <w:p w:rsidR="008440BA" w:rsidRPr="002803A5" w:rsidRDefault="008440BA" w:rsidP="002803A5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Введение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 представляет собой наиболее ответственную часть проектной и исследовательской работы, так как содержит в сжатой форме все основные, положения, обоснованию и проверке которых посвящено исследование. </w:t>
      </w:r>
      <w:proofErr w:type="gramStart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Введение должно включать в себя: формулировку темы, проблему исследования, актуальность исследования, объект, предмет, цель, гипотезы, задачи, методы исследования, </w:t>
      </w:r>
      <w:bookmarkStart w:id="0" w:name="_GoBack"/>
      <w:bookmarkEnd w:id="0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этапы исследования, структуру исследования, его практическую значимость, краткий анализ литературы и др. источников информации.</w:t>
      </w:r>
      <w:proofErr w:type="gramEnd"/>
    </w:p>
    <w:p w:rsidR="008440BA" w:rsidRPr="002803A5" w:rsidRDefault="008440BA" w:rsidP="008440B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lang w:eastAsia="ru-RU"/>
        </w:rPr>
      </w:pPr>
    </w:p>
    <w:p w:rsidR="008440BA" w:rsidRPr="002803A5" w:rsidRDefault="008440BA" w:rsidP="002803A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Матрица написания введения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Данная работа посвящена … 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обозначается тема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Описание проблемы исследования/ проекта 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5–7 распространенных предложений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proofErr w:type="gramStart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С научной точки зрения, актуальность данной работы заключается в…. 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или Научная значимость данной работы заключается….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gramEnd"/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С социальной точки зрения, работа актуальна, так как… 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или Социальная значимость работы определяется…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Для меня лично работа актуальна тем, что…. 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или Личностная значимость данной работы заключается в том, что…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Учебное исследование реализуется в предметных рамках…(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названия предметных областей знаний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). Близкие учебные дисциплины….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Исследование может быть квалифицировано как … 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вид исследования / проекта по основной деятельности, по характеру контактов, по продолжительности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Объектом исследования является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 …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Предметом исследования является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 …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На основании вышеизложенного сформулирована следующая </w:t>
      </w: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цель исследования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: …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Гипотеза исследования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 заключается 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состоит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 в том, что …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Проверка истинности гипотезы предполагает выполнение следующих </w:t>
      </w: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задач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1.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2.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В исследовании были использованы следующие </w:t>
      </w: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методы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1.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2.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Практическая значимость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 данной работы определяется … 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или состоит в том, что…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br/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Текст исследовательской работы делится на крупные главы и мелкие параграфы.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Основная (содержательная) часть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 работы может содержать 1-2 главы, в которых рассматриваются основные вопросы темы. Глава 1 обычно содержит итоги анализа литературы по теме исследования, ее теоретическое обоснование; глава 2 описывает практические этапы работы, анализ полученных данных, выявление определенных закономерностей в изучаемых явлениях в ходе эксперимента или исследования. В конце каждой главы пишутся выводы.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br/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Заключение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 обычно составляет не больше 1–2 страниц. Важным требованием к заключению является то, что оно не должно повторять выводы по главам. В заключении формулируются наиболее общие выводы по результатам исследования и предлагаются 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lastRenderedPageBreak/>
        <w:t>рекомендации. Отмечается степень достижения цели, обозначаются перспективы дальнейших исследований.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</w:p>
    <w:p w:rsidR="008440BA" w:rsidRPr="002803A5" w:rsidRDefault="008440BA" w:rsidP="002803A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Матрица написания заключения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Данная работа посвящена … (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раскрытие актуальности проблемы в 2–5-ти предложениях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 xml:space="preserve">Далее раскрываются основные понятия, на которые опирались при написании главы 1, комментируются выводы, сделанные в главе 1.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Результаты нашего исследования (работы) показали... 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 xml:space="preserve">На основе выводов главы 2 дается комментарий степени достижения цели, подтверждения, опровержения или корректировки гипотезы.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Таким образом, … 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Дается окончательная формулировка утверждения, сделанного в результате подтверждения или опровержения гипотезы.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Полученные результаты исследования дают возможность утверждать, что продукт исследовательской работы является актуальным и востребованным</w:t>
      </w:r>
      <w:proofErr w:type="gramStart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… </w:t>
      </w:r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2803A5">
        <w:rPr>
          <w:rFonts w:ascii="Times New Roman" w:eastAsia="Times New Roman" w:hAnsi="Times New Roman" w:cs="Times New Roman"/>
          <w:i/>
          <w:iCs/>
          <w:color w:val="363836"/>
          <w:sz w:val="24"/>
          <w:szCs w:val="24"/>
          <w:bdr w:val="none" w:sz="0" w:space="0" w:color="auto" w:frame="1"/>
          <w:lang w:eastAsia="ru-RU"/>
        </w:rPr>
        <w:t>ается анализ практической значимости продукта исследования.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br/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Кроме формальных особенностей представления материала исследователю следует подумать над тем, каким языком будут изложены результаты его работы.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br/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Как правило, проектная и исследовательская работа имеет научный стиль изложения, который имеет свои особенности: </w:t>
      </w:r>
    </w:p>
    <w:p w:rsidR="008440BA" w:rsidRPr="002803A5" w:rsidRDefault="008440BA" w:rsidP="008440BA">
      <w:pPr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Подчеркнутую строгую логичность, проявляющуюся в том, что все предложения располагаются в последовательности, соответствующей причинно-следственным связям явлений, а выводы вытекают из фактов, изложенных в тексте; </w:t>
      </w:r>
    </w:p>
    <w:p w:rsidR="008440BA" w:rsidRPr="002803A5" w:rsidRDefault="008440BA" w:rsidP="008440BA">
      <w:pPr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Точность, которая достигается тщательным подбором слов, употреблением их в прямом значении, широким использованием терминов и специальной лексики; отвлеченность и обобщенность, достигаемые за счет преобладания абстрактной лексики </w:t>
      </w:r>
      <w:proofErr w:type="gramStart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над</w:t>
      </w:r>
      <w:proofErr w:type="gramEnd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 конкретной; </w:t>
      </w:r>
    </w:p>
    <w:p w:rsidR="008440BA" w:rsidRPr="002803A5" w:rsidRDefault="008440BA" w:rsidP="008440BA">
      <w:pPr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Объективность изложения фактов, недопустимость субъективизма и эмоциональности; </w:t>
      </w:r>
    </w:p>
    <w:p w:rsidR="008440BA" w:rsidRPr="002803A5" w:rsidRDefault="008440BA" w:rsidP="008440BA">
      <w:pPr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Ясность – умение писать доступно и доходчиво; </w:t>
      </w:r>
    </w:p>
    <w:p w:rsidR="008440BA" w:rsidRPr="002803A5" w:rsidRDefault="008440BA" w:rsidP="008440BA">
      <w:pPr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Краткость – умение избежать ненужных повторов, излишней детализации и «Словесного мусора».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Важно уметь связать накопленную информацию в связанный текст. Для этого необходимо разбираться в речевых функциях и лексических средствах их реализации. 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В языковом плане эти свойства проявляются в том, что в научных текстах не принято использовать эмоционально-оценочную лексику, а вместо местоимения «я» и глаголов в первом лице единственного числа чаще употребляются предложения неопределенно-личные («считают, что...»), безличные («известно, что...»), определенно-личные («рассмотрим проблему...»).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br/>
      </w:r>
    </w:p>
    <w:p w:rsidR="002803A5" w:rsidRDefault="002803A5">
      <w:pPr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br w:type="page"/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lastRenderedPageBreak/>
        <w:t>Приведем несколько примеров формулировок: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Причина и следствие, условие и следствие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(и) поэтому,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потому,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так как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Поскольку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Отсюда следует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Откуда следует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Вследствие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результате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силу этого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Ввиду этого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зависимости </w:t>
      </w:r>
      <w:proofErr w:type="gramStart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от</w:t>
      </w:r>
      <w:proofErr w:type="gramEnd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связи с этим, согласно этому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таком условии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таких условиях </w:t>
      </w:r>
    </w:p>
    <w:p w:rsidR="008440BA" w:rsidRPr="002803A5" w:rsidRDefault="008440BA" w:rsidP="008440BA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(а) если (же)..., то...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Временная соотнесённость и порядок изложения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Сначала, прежде всего, в первую очередь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Первым шагом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Последующим шагом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Предшествующим шагом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Одновременно, в тоже время, здесь же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Наряду с этим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Предварительно, ранее, выше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Ещё раз, вновь, снова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Затем, далее, потом, ниже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дальнейшем, в последующем, впоследствии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Во-первых, во-вторых, и т.д.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настоящее время, до настоящего времени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последние годы, за последние годы </w:t>
      </w:r>
    </w:p>
    <w:p w:rsidR="008440BA" w:rsidRPr="002803A5" w:rsidRDefault="008440BA" w:rsidP="008440BA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Наконец, в заключение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Сопоставление и противопоставление</w:t>
      </w:r>
    </w:p>
    <w:p w:rsidR="008440BA" w:rsidRPr="002803A5" w:rsidRDefault="008440BA" w:rsidP="008440BA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Однако, но, а, же </w:t>
      </w:r>
    </w:p>
    <w:p w:rsidR="008440BA" w:rsidRPr="002803A5" w:rsidRDefault="008440BA" w:rsidP="008440BA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Как..., так и..., так же, как и </w:t>
      </w:r>
    </w:p>
    <w:p w:rsidR="008440BA" w:rsidRPr="002803A5" w:rsidRDefault="008440BA" w:rsidP="008440BA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Не только, но и... </w:t>
      </w:r>
    </w:p>
    <w:p w:rsidR="008440BA" w:rsidRPr="002803A5" w:rsidRDefault="008440BA" w:rsidP="008440BA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По сравнению, если..., то... </w:t>
      </w:r>
    </w:p>
    <w:p w:rsidR="008440BA" w:rsidRPr="002803A5" w:rsidRDefault="008440BA" w:rsidP="008440BA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lastRenderedPageBreak/>
        <w:t xml:space="preserve">В отличие, в противоположность, наоборот </w:t>
      </w:r>
    </w:p>
    <w:p w:rsidR="008440BA" w:rsidRPr="002803A5" w:rsidRDefault="008440BA" w:rsidP="008440BA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Аналогично, также, таким же образом </w:t>
      </w:r>
    </w:p>
    <w:p w:rsidR="008440BA" w:rsidRPr="002803A5" w:rsidRDefault="008440BA" w:rsidP="008440BA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С одной стороны, с другой стороны </w:t>
      </w:r>
    </w:p>
    <w:p w:rsidR="008440BA" w:rsidRPr="002803A5" w:rsidRDefault="008440BA" w:rsidP="008440BA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то время как, между тем, вместе с тем </w:t>
      </w:r>
    </w:p>
    <w:p w:rsidR="008440BA" w:rsidRPr="002803A5" w:rsidRDefault="008440BA" w:rsidP="008440BA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Тем не менее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Дополнение или уточнение</w:t>
      </w:r>
    </w:p>
    <w:p w:rsidR="008440BA" w:rsidRPr="002803A5" w:rsidRDefault="008440BA" w:rsidP="008440BA">
      <w:pPr>
        <w:numPr>
          <w:ilvl w:val="0"/>
          <w:numId w:val="5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Также и, причём, вместе с тем </w:t>
      </w:r>
    </w:p>
    <w:p w:rsidR="008440BA" w:rsidRPr="002803A5" w:rsidRDefault="008440BA" w:rsidP="008440BA">
      <w:pPr>
        <w:numPr>
          <w:ilvl w:val="0"/>
          <w:numId w:val="5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Кроме того </w:t>
      </w:r>
    </w:p>
    <w:p w:rsidR="008440BA" w:rsidRPr="002803A5" w:rsidRDefault="008440BA" w:rsidP="008440BA">
      <w:pPr>
        <w:numPr>
          <w:ilvl w:val="0"/>
          <w:numId w:val="5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Сверх того </w:t>
      </w:r>
    </w:p>
    <w:p w:rsidR="008440BA" w:rsidRPr="002803A5" w:rsidRDefault="008440BA" w:rsidP="008440BA">
      <w:pPr>
        <w:numPr>
          <w:ilvl w:val="0"/>
          <w:numId w:val="5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Более того </w:t>
      </w:r>
    </w:p>
    <w:p w:rsidR="008440BA" w:rsidRPr="002803A5" w:rsidRDefault="008440BA" w:rsidP="008440BA">
      <w:pPr>
        <w:numPr>
          <w:ilvl w:val="0"/>
          <w:numId w:val="5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Главным образом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Ссылка на предыдущее или последующее высказывание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Тем более, что...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том числе, в случае, то есть, а именно </w:t>
      </w:r>
      <w:proofErr w:type="gramStart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сказано</w:t>
      </w:r>
      <w:proofErr w:type="gramEnd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/показано/упомянуто/отмечено/установлено/получено/обнаружено/найдено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Как говорилось выше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Как указывалось выше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Как отмечалось выше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Как подчёркивалось выше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Согласно этому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Сообразно этому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Соответственно этому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соответствии с этим, в связи с этим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В связи с </w:t>
      </w:r>
      <w:proofErr w:type="gramStart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вышеизложенным</w:t>
      </w:r>
      <w:proofErr w:type="gramEnd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proofErr w:type="gramStart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Данный</w:t>
      </w:r>
      <w:proofErr w:type="gramEnd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, названный, рассматриваемый и т.д.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Такой, такой же, подобный, аналогичный, сходный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Подобного рода, подобного типа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Следующий, последующий, некоторый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 xml:space="preserve">Многие из них, один из них, некоторые их них </w:t>
      </w:r>
    </w:p>
    <w:p w:rsidR="008440BA" w:rsidRPr="002803A5" w:rsidRDefault="008440BA" w:rsidP="008440BA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  <w:t>Большая часть, большинство</w:t>
      </w:r>
    </w:p>
    <w:p w:rsidR="008440BA" w:rsidRPr="002803A5" w:rsidRDefault="008440BA" w:rsidP="008440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836"/>
          <w:sz w:val="24"/>
          <w:szCs w:val="24"/>
          <w:lang w:eastAsia="ru-RU"/>
        </w:rPr>
      </w:pP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Исходя из того, что проектная деятельность направлена на решение какой-либо социально значимой и личностно актуальной для учащегося проблемы, то и обязательным признаком этой деятельности является </w:t>
      </w:r>
      <w:r w:rsidRPr="002803A5">
        <w:rPr>
          <w:rFonts w:ascii="Times New Roman" w:eastAsia="Times New Roman" w:hAnsi="Times New Roman" w:cs="Times New Roman"/>
          <w:b/>
          <w:bCs/>
          <w:color w:val="363836"/>
          <w:sz w:val="24"/>
          <w:szCs w:val="24"/>
          <w:bdr w:val="none" w:sz="0" w:space="0" w:color="auto" w:frame="1"/>
          <w:lang w:eastAsia="ru-RU"/>
        </w:rPr>
        <w:t>полезный продукт</w:t>
      </w:r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. Это средство разрешения той проблемы, которая и стала фактически причиной реализации проекта. Разнообразие этих проблем порождает такое же разнообразие продуктов, созданных в результате осуществления проектов. </w:t>
      </w:r>
      <w:proofErr w:type="gramStart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>Следует подчеркнуть, что результаты выполненных проектов должны быть полезными и осязаемыми, готовым к использованию на уроке, в учебном заведении, в реальной жизни.</w:t>
      </w:r>
      <w:proofErr w:type="gramEnd"/>
      <w:r w:rsidRPr="002803A5">
        <w:rPr>
          <w:rFonts w:ascii="Times New Roman" w:eastAsia="Times New Roman" w:hAnsi="Times New Roman" w:cs="Times New Roman"/>
          <w:color w:val="363836"/>
          <w:sz w:val="24"/>
          <w:szCs w:val="24"/>
          <w:bdr w:val="none" w:sz="0" w:space="0" w:color="auto" w:frame="1"/>
          <w:lang w:eastAsia="ru-RU"/>
        </w:rPr>
        <w:t xml:space="preserve"> Так, если решалась теоретическая проблема, то создается ее конкретное решение, например, в форме информационного продукта, если решалась практическая проблема, то разрабатывается конкретный продукт, готовый к потреблению.</w:t>
      </w:r>
    </w:p>
    <w:p w:rsidR="0061284E" w:rsidRPr="002803A5" w:rsidRDefault="0061284E">
      <w:pPr>
        <w:rPr>
          <w:rFonts w:ascii="Times New Roman" w:hAnsi="Times New Roman" w:cs="Times New Roman"/>
          <w:sz w:val="24"/>
          <w:szCs w:val="24"/>
        </w:rPr>
      </w:pPr>
    </w:p>
    <w:sectPr w:rsidR="0061284E" w:rsidRPr="002803A5" w:rsidSect="0028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6052"/>
    <w:multiLevelType w:val="multilevel"/>
    <w:tmpl w:val="FA36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725DA"/>
    <w:multiLevelType w:val="multilevel"/>
    <w:tmpl w:val="AE7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F0EAB"/>
    <w:multiLevelType w:val="multilevel"/>
    <w:tmpl w:val="BF88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3321E4"/>
    <w:multiLevelType w:val="multilevel"/>
    <w:tmpl w:val="9D1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3A0E9D"/>
    <w:multiLevelType w:val="multilevel"/>
    <w:tmpl w:val="B790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7668E"/>
    <w:multiLevelType w:val="multilevel"/>
    <w:tmpl w:val="4818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BA"/>
    <w:rsid w:val="002803A5"/>
    <w:rsid w:val="00540F50"/>
    <w:rsid w:val="0061284E"/>
    <w:rsid w:val="0084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9214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557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53347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5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48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1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31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1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2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3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93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92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7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3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83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5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70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6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97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04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9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85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42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ТАНЕЧКА</cp:lastModifiedBy>
  <cp:revision>2</cp:revision>
  <dcterms:created xsi:type="dcterms:W3CDTF">2021-11-17T05:19:00Z</dcterms:created>
  <dcterms:modified xsi:type="dcterms:W3CDTF">2023-11-01T20:21:00Z</dcterms:modified>
</cp:coreProperties>
</file>