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11" w:rsidRDefault="00C91011">
      <w:pPr>
        <w:pStyle w:val="ConsPlusNormal"/>
        <w:outlineLvl w:val="0"/>
      </w:pPr>
      <w:r>
        <w:t>Зарегистрировано в Минюсте России 26 сентября 2022 г. N 70226</w:t>
      </w:r>
    </w:p>
    <w:p w:rsidR="00C91011" w:rsidRDefault="00C910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Title"/>
        <w:jc w:val="center"/>
      </w:pPr>
      <w:r>
        <w:t>МИНИСТЕРСТВО ПРОСВЕЩЕНИЯ РОССИЙСКОЙ ФЕДЕРАЦИИ</w:t>
      </w:r>
    </w:p>
    <w:p w:rsidR="00C91011" w:rsidRDefault="00C91011">
      <w:pPr>
        <w:pStyle w:val="ConsPlusTitle"/>
        <w:jc w:val="center"/>
      </w:pPr>
    </w:p>
    <w:p w:rsidR="00C91011" w:rsidRDefault="00C91011">
      <w:pPr>
        <w:pStyle w:val="ConsPlusTitle"/>
        <w:jc w:val="center"/>
      </w:pPr>
      <w:r>
        <w:t>ПРИКАЗ</w:t>
      </w:r>
    </w:p>
    <w:p w:rsidR="00C91011" w:rsidRDefault="00C91011">
      <w:pPr>
        <w:pStyle w:val="ConsPlusTitle"/>
        <w:jc w:val="center"/>
      </w:pPr>
      <w:r>
        <w:t>от 27 июля 2022 г. N 629</w:t>
      </w:r>
    </w:p>
    <w:p w:rsidR="00C91011" w:rsidRDefault="00C91011">
      <w:pPr>
        <w:pStyle w:val="ConsPlusTitle"/>
        <w:jc w:val="center"/>
      </w:pPr>
    </w:p>
    <w:p w:rsidR="00C91011" w:rsidRDefault="00C91011">
      <w:pPr>
        <w:pStyle w:val="ConsPlusTitle"/>
        <w:jc w:val="center"/>
      </w:pPr>
      <w:r>
        <w:t>ОБ УТВЕРЖДЕНИИ ПОРЯДКА</w:t>
      </w:r>
    </w:p>
    <w:p w:rsidR="00C91011" w:rsidRDefault="00C9101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C91011" w:rsidRDefault="00C91011">
      <w:pPr>
        <w:pStyle w:val="ConsPlusTitle"/>
        <w:jc w:val="center"/>
      </w:pPr>
      <w:r>
        <w:t>ПО ДОПОЛНИТЕЛЬНЫМ ОБЩЕОБРАЗОВАТЕЛЬНЫМ ПРОГРАММАМ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просвещения Российской Федерации: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от 9 ноября 2018 г. </w:t>
      </w:r>
      <w:hyperlink r:id="rId8">
        <w:r>
          <w:rPr>
            <w:color w:val="0000FF"/>
          </w:rPr>
          <w:t>N 196</w:t>
        </w:r>
      </w:hyperlink>
      <w:r>
        <w:t xml:space="preserve">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29 ноября 2018 г., регистрационный N 52831);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от 5 сентября 2019 г. </w:t>
      </w:r>
      <w:hyperlink r:id="rId9">
        <w:r>
          <w:rPr>
            <w:color w:val="0000FF"/>
          </w:rPr>
          <w:t>N 470</w:t>
        </w:r>
      </w:hyperlink>
      <w:r>
        <w:t xml:space="preserve">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 (зарегистрирован Министерством юстиции Российской Федерации 25 ноября 2019 г., регистрационный N 56617);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от 30 сентября 2020 г. </w:t>
      </w:r>
      <w:hyperlink r:id="rId10">
        <w:r>
          <w:rPr>
            <w:color w:val="0000FF"/>
          </w:rPr>
          <w:t>N 533</w:t>
        </w:r>
      </w:hyperlink>
      <w:r>
        <w:t xml:space="preserve">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 (зарегистрирован Министерством юстиции Российской Федерации 27 октября 2020 г., регистрационный N 60590).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2023 г. и действует по 28 февраля 2029 года.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C91011" w:rsidRDefault="00C91011">
      <w:pPr>
        <w:pStyle w:val="ConsPlusNormal"/>
        <w:jc w:val="right"/>
      </w:pPr>
      <w:r>
        <w:t>А.А.КОРНЕЕВ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both"/>
      </w:pPr>
      <w:bookmarkStart w:id="0" w:name="_GoBack"/>
      <w:bookmarkEnd w:id="0"/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right"/>
        <w:outlineLvl w:val="0"/>
      </w:pPr>
      <w:r>
        <w:t>Приложение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right"/>
      </w:pPr>
      <w:r>
        <w:t>Утвержден</w:t>
      </w:r>
    </w:p>
    <w:p w:rsidR="00C91011" w:rsidRDefault="00C91011">
      <w:pPr>
        <w:pStyle w:val="ConsPlusNormal"/>
        <w:jc w:val="right"/>
      </w:pPr>
      <w:r>
        <w:t>приказом Министерства просвещения</w:t>
      </w:r>
    </w:p>
    <w:p w:rsidR="00C91011" w:rsidRDefault="00C91011">
      <w:pPr>
        <w:pStyle w:val="ConsPlusNormal"/>
        <w:jc w:val="right"/>
      </w:pPr>
      <w:r>
        <w:t>Российской Федерации</w:t>
      </w:r>
    </w:p>
    <w:p w:rsidR="00C91011" w:rsidRDefault="00C91011">
      <w:pPr>
        <w:pStyle w:val="ConsPlusNormal"/>
        <w:jc w:val="right"/>
      </w:pPr>
      <w:r>
        <w:t>от 27 июля 2022 г. N 629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Title"/>
        <w:jc w:val="center"/>
      </w:pPr>
      <w:bookmarkStart w:id="1" w:name="P35"/>
      <w:bookmarkEnd w:id="1"/>
      <w:r>
        <w:t>ПОРЯДОК</w:t>
      </w:r>
    </w:p>
    <w:p w:rsidR="00C91011" w:rsidRDefault="00C9101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C91011" w:rsidRDefault="00C91011">
      <w:pPr>
        <w:pStyle w:val="ConsPlusTitle"/>
        <w:jc w:val="center"/>
      </w:pPr>
      <w:r>
        <w:t>ПО ДОПОЛНИТЕЛЬНЫМ ОБЩЕОБРАЗОВАТЕЛЬНЫМ ПРОГРАММАМ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  <w:proofErr w:type="gramEnd"/>
    </w:p>
    <w:p w:rsidR="00C91011" w:rsidRDefault="00C91011">
      <w:pPr>
        <w:pStyle w:val="ConsPlusNormal"/>
        <w:spacing w:before="220"/>
        <w:ind w:firstLine="540"/>
        <w:jc w:val="both"/>
      </w:pPr>
      <w:r>
        <w:t>2. 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&lt;1&gt;.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Часть 6 статьи 88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(Собрание законодательства Российской Федерации, 2012, N 53, ст. 7598; 2019, N 30, ст. 4134).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4. Особенности организации и осуществления образовательной деятельности по дополнительным образовательным программам спортивной подготовки &lt;2&gt; устанавливаются Министерством спорта Российской Федерации по согласованию с Министерством просвещения Российской Федерации &lt;3&gt;.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Пункт 15.1 статьи 2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7354, 2021, N 18, ст. 3071).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Часть 9 статьи 84</w:t>
        </w:r>
      </w:hyperlink>
      <w:r>
        <w:t xml:space="preserve"> Федерального закона N 273-ФЗ (Собрание законодательства Российской Федерации, 2012, N 53, ст. 7598; 2021, N 18, ст. 3071).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 &lt;4&gt;.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Часть 21 статьи 83</w:t>
        </w:r>
      </w:hyperlink>
      <w:r>
        <w:t xml:space="preserve"> Федерального закона N 273-ФЗ (Собрание законодательства Российской Федерации, 2012, N 53, ст. 7598; 2021, N 18, ст. 3071).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 xml:space="preserve">5. Образовательная деятельность по дополнительным общеобразовательным программам должна быть направлена </w:t>
      </w:r>
      <w:proofErr w:type="gramStart"/>
      <w:r>
        <w:t>на</w:t>
      </w:r>
      <w:proofErr w:type="gramEnd"/>
      <w:r>
        <w:t>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обеспечение духовно-нравственного, гражданско-патриотического воспитания </w:t>
      </w:r>
      <w:proofErr w:type="gramStart"/>
      <w:r>
        <w:t>обучающихся</w:t>
      </w:r>
      <w:proofErr w:type="gramEnd"/>
      <w:r>
        <w:t>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lastRenderedPageBreak/>
        <w:t>формирование и развитие творческих способностей обучающихся;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формирование культуры здорового и безопасного образа жизни, укрепление здоровья, а также на организацию свободного времени </w:t>
      </w:r>
      <w:proofErr w:type="gramStart"/>
      <w:r>
        <w:t>обучающихся</w:t>
      </w:r>
      <w:proofErr w:type="gramEnd"/>
      <w:r>
        <w:t>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адаптацию </w:t>
      </w:r>
      <w:proofErr w:type="gramStart"/>
      <w:r>
        <w:t>обучающихся</w:t>
      </w:r>
      <w:proofErr w:type="gramEnd"/>
      <w:r>
        <w:t xml:space="preserve"> к жизни в обществе;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профессиональную ориентацию </w:t>
      </w:r>
      <w:proofErr w:type="gramStart"/>
      <w:r>
        <w:t>обучающихся</w:t>
      </w:r>
      <w:proofErr w:type="gramEnd"/>
      <w:r>
        <w:t>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выявление, развитие и поддержку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6. Содержание дополнительных общеразвивающих программ и сроки </w:t>
      </w:r>
      <w:proofErr w:type="gramStart"/>
      <w:r>
        <w:t>обучения по ним</w:t>
      </w:r>
      <w:proofErr w:type="gramEnd"/>
      <w: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 &lt;5&gt;.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Часть 4 статьи 75</w:t>
        </w:r>
      </w:hyperlink>
      <w:r>
        <w:t xml:space="preserve"> Федерального закона N 273-ФЗ (Собрание законодательства Российской Федерации, 2012, N 53, ст. 7598; 2021, N 18, ст. 3071).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7.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 &lt;6&gt;.</w:t>
      </w:r>
    </w:p>
    <w:p w:rsidR="00C91011" w:rsidRDefault="00C91011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C91011" w:rsidRDefault="00C91011">
      <w:pPr>
        <w:pStyle w:val="ConsPlusNormal"/>
        <w:spacing w:before="220"/>
        <w:ind w:firstLine="540"/>
        <w:jc w:val="both"/>
      </w:pPr>
      <w:proofErr w:type="gramStart"/>
      <w:r>
        <w:t xml:space="preserve">&lt;6&gt; Санитарные </w:t>
      </w:r>
      <w:hyperlink r:id="rId16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года.</w:t>
      </w:r>
      <w:proofErr w:type="gramEnd"/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8.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</w:t>
      </w:r>
      <w:r>
        <w:lastRenderedPageBreak/>
        <w:t>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  <w:proofErr w:type="gramEnd"/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Обучение</w:t>
      </w:r>
      <w:proofErr w:type="gramEnd"/>
      <w: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&lt;7&gt;.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7">
        <w:r>
          <w:rPr>
            <w:color w:val="0000FF"/>
          </w:rPr>
          <w:t>Пункт 3 части 1 статьи 34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11.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Занятия в объединениях могут проводиться по группам, индивидуально или всем составом объединения.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Расписание занятий объединения составляется для создания наиболее благоприятного режима труда и </w:t>
      </w:r>
      <w:proofErr w:type="gramStart"/>
      <w:r>
        <w:t>отдыха</w:t>
      </w:r>
      <w:proofErr w:type="gramEnd"/>
      <w:r>
        <w:t xml:space="preserve">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12. Допускается сочетание различных форм получения образования и форм обучения &lt;8&gt;. Формы </w:t>
      </w:r>
      <w:proofErr w:type="gramStart"/>
      <w:r>
        <w:t>обучения</w:t>
      </w:r>
      <w:proofErr w:type="gramEnd"/>
      <w:r>
        <w:t xml:space="preserve">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&lt;9&gt;.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8">
        <w:r>
          <w:rPr>
            <w:color w:val="0000FF"/>
          </w:rPr>
          <w:t>Часть 4 статьи 17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9">
        <w:r>
          <w:rPr>
            <w:color w:val="0000FF"/>
          </w:rPr>
          <w:t>Часть 5 статьи 17</w:t>
        </w:r>
      </w:hyperlink>
      <w:r>
        <w:t xml:space="preserve"> Федерального закона N 273-ФЗ (Собрание законодательства Российской Федерации, 2012, N 53, ст. 7598; 2021, N 1, ст. 56).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13.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&lt;10&gt;.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0">
        <w:r>
          <w:rPr>
            <w:color w:val="0000FF"/>
          </w:rPr>
          <w:t>Часть 1 статьи 13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lastRenderedPageBreak/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 &lt;11&gt;.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1">
        <w:r>
          <w:rPr>
            <w:color w:val="0000FF"/>
          </w:rPr>
          <w:t>Часть 2 статьи 13</w:t>
        </w:r>
      </w:hyperlink>
      <w:r>
        <w:t xml:space="preserve"> и </w:t>
      </w:r>
      <w:hyperlink r:id="rId22">
        <w:r>
          <w:rPr>
            <w:color w:val="0000FF"/>
          </w:rPr>
          <w:t>статья 16</w:t>
        </w:r>
      </w:hyperlink>
      <w:r>
        <w:t xml:space="preserve"> Федерального закона N 273-ФЗ (Собрание законодательства Российской Федерации, 2012, N 53, ст. 7598; 2022, N 1, ст. 41).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15.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 &lt;12&gt;.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3">
        <w:r>
          <w:rPr>
            <w:color w:val="0000FF"/>
          </w:rPr>
          <w:t>Часть 3 статьи 13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 &lt;13&gt;.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4">
        <w:r>
          <w:rPr>
            <w:color w:val="0000FF"/>
          </w:rPr>
          <w:t>Часть 9 статьи 13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17.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18.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N 273-ФЗ и локальными нормативными актами организации, осуществляющей образовательную деятельность &lt;14&gt;.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6">
        <w:r>
          <w:rPr>
            <w:color w:val="0000FF"/>
          </w:rPr>
          <w:t>Часть 5 статьи 14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</w:t>
      </w:r>
      <w:r>
        <w:lastRenderedPageBreak/>
        <w:t>общеобразовательных программ, реализуемых организацией, осуществляющей образовательную деятельность) &lt;15&gt; и отвечающими квалификационным требованиям, указанным в квалификационных справочниках, и (или) профессиональным стандартам &lt;16&gt;.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7">
        <w:r>
          <w:rPr>
            <w:color w:val="0000FF"/>
          </w:rPr>
          <w:t>Часть 1 статьи 46</w:t>
        </w:r>
      </w:hyperlink>
      <w:r>
        <w:t xml:space="preserve"> Федерального закона N 273-ФЗ (Собрание законодательства Российской Федерации, 2012, N 53, ст. 7598; 2020, N 24, ст. 3739).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&lt;16&gt; Профессиональный </w:t>
      </w:r>
      <w:hyperlink r:id="rId28">
        <w:r>
          <w:rPr>
            <w:color w:val="0000FF"/>
          </w:rPr>
          <w:t>стандарт</w:t>
        </w:r>
      </w:hyperlink>
      <w:r>
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22 сентября 2021 г. N 652н (зарегистрирован Министерством юстиции Российской Федерации 17 декабря 2021 г., регистрационный N 66403), действующим до 1 сентября 2028 года.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proofErr w:type="gramStart"/>
      <w:r>
        <w:t xml:space="preserve">Организации, осуществляющие образовательную деятельность, вправе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об образовании &lt;17&gt;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</w:t>
      </w:r>
      <w:proofErr w:type="gramEnd"/>
      <w:r>
        <w:t xml:space="preserve">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 &lt;18&gt;.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30">
        <w:r>
          <w:rPr>
            <w:color w:val="0000FF"/>
          </w:rPr>
          <w:t>Часть 5 статьи 46</w:t>
        </w:r>
      </w:hyperlink>
      <w:r>
        <w:t xml:space="preserve"> Федерального закона N 273-ФЗ (Собрание законодательства Российской Федерации, 2012, N 53, ст. 7598; 2020, N 24, ст. 3739).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1">
        <w:r>
          <w:rPr>
            <w:color w:val="0000FF"/>
          </w:rPr>
          <w:t>Часть 4 статьи 46</w:t>
        </w:r>
      </w:hyperlink>
      <w:r>
        <w:t xml:space="preserve"> Федерального закона N 273-ФЗ (Собрание законодательства Российской Федерации, 2012, N 53, ст. 7598; 2020, N 24, ст. 3739).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21.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22.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24.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</w:t>
      </w:r>
      <w:proofErr w:type="spellStart"/>
      <w:r>
        <w:t>абилитации</w:t>
      </w:r>
      <w:proofErr w:type="spellEnd"/>
      <w:r>
        <w:t>) инвалида, ребенка-инвалида.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Под специальными </w:t>
      </w:r>
      <w:proofErr w:type="gramStart"/>
      <w:r>
        <w:t>условиями</w:t>
      </w:r>
      <w:proofErr w:type="gramEnd"/>
      <w:r>
        <w:t xml:space="preserve">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</w:t>
      </w:r>
      <w:r>
        <w:lastRenderedPageBreak/>
        <w:t xml:space="preserve">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</w:t>
      </w:r>
      <w:proofErr w:type="gramStart"/>
      <w:r>
        <w:t>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&lt;19&gt;.</w:t>
      </w:r>
      <w:proofErr w:type="gramEnd"/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2">
        <w:r>
          <w:rPr>
            <w:color w:val="0000FF"/>
          </w:rPr>
          <w:t>Часть 3 статьи 79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 &lt;20&gt;.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3">
        <w:r>
          <w:rPr>
            <w:color w:val="0000FF"/>
          </w:rPr>
          <w:t>Часть вторая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 xml:space="preserve">25. </w:t>
      </w:r>
      <w:proofErr w:type="gramStart"/>
      <w:r>
        <w:t xml:space="preserve">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</w:t>
      </w:r>
      <w:hyperlink w:anchor="P140">
        <w:r>
          <w:rPr>
            <w:color w:val="0000FF"/>
          </w:rPr>
          <w:t>пункте 26</w:t>
        </w:r>
      </w:hyperlink>
      <w:r>
        <w:t xml:space="preserve"> Порядка, и быть направлена на решение следующих задач:</w:t>
      </w:r>
      <w:proofErr w:type="gramEnd"/>
    </w:p>
    <w:p w:rsidR="00C91011" w:rsidRDefault="00C91011">
      <w:pPr>
        <w:pStyle w:val="ConsPlusNormal"/>
        <w:spacing w:before="220"/>
        <w:ind w:firstLine="540"/>
        <w:jc w:val="both"/>
      </w:pPr>
      <w:r>
        <w:t>оказание психолого-педагогической помощи, реабилитации (</w:t>
      </w:r>
      <w:proofErr w:type="spellStart"/>
      <w:r>
        <w:t>абилитации</w:t>
      </w:r>
      <w:proofErr w:type="spellEnd"/>
      <w:r>
        <w:t>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обеспечение возможности вербальной и невербальной коммуникации для </w:t>
      </w:r>
      <w:proofErr w:type="gramStart"/>
      <w:r>
        <w:t>обучающихся</w:t>
      </w:r>
      <w:proofErr w:type="gramEnd"/>
      <w:r>
        <w:t xml:space="preserve"> с выраженными проблемами коммуникации, в том числе: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с использованием средств альтернативной или дополнительной коммуникации;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воспитание самостоятельности и независимости при освоении доступных видов деятельности;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C91011" w:rsidRDefault="00C91011">
      <w:pPr>
        <w:pStyle w:val="ConsPlusNormal"/>
        <w:spacing w:before="220"/>
        <w:ind w:firstLine="540"/>
        <w:jc w:val="both"/>
      </w:pPr>
      <w:bookmarkStart w:id="2" w:name="P140"/>
      <w:bookmarkEnd w:id="2"/>
      <w:r>
        <w:t xml:space="preserve">26. Содержание образования и условия организации обучения и </w:t>
      </w:r>
      <w:proofErr w:type="gramStart"/>
      <w:r>
        <w:t>воспитания</w:t>
      </w:r>
      <w:proofErr w:type="gramEnd"/>
      <w: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&lt;21&gt;.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4">
        <w:r>
          <w:rPr>
            <w:color w:val="0000FF"/>
          </w:rPr>
          <w:t>Часть 1 статьи 79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  <w:proofErr w:type="gramEnd"/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а)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по зрению:</w:t>
      </w:r>
    </w:p>
    <w:p w:rsidR="00C91011" w:rsidRDefault="00C91011">
      <w:pPr>
        <w:pStyle w:val="ConsPlusNormal"/>
        <w:spacing w:before="220"/>
        <w:ind w:firstLine="540"/>
        <w:jc w:val="both"/>
      </w:pPr>
      <w:proofErr w:type="gramStart"/>
      <w:r>
        <w:t>размещение в доступных для обучающихся, являющихся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учебных занятий;</w:t>
      </w:r>
      <w:proofErr w:type="gramEnd"/>
    </w:p>
    <w:p w:rsidR="00C91011" w:rsidRDefault="00C91011">
      <w:pPr>
        <w:pStyle w:val="ConsPlusNormal"/>
        <w:spacing w:before="220"/>
        <w:ind w:firstLine="540"/>
        <w:jc w:val="both"/>
      </w:pPr>
      <w: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звуковые маяки, облегчающие поиск входа в организацию, осуществляющую образовательную деятельность;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контрастную маркировку </w:t>
      </w:r>
      <w:proofErr w:type="spellStart"/>
      <w:r>
        <w:t>проступей</w:t>
      </w:r>
      <w:proofErr w:type="spellEnd"/>
      <w:r>
        <w:t xml:space="preserve">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применение специального спортивного инвентаря &lt;22&gt; 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35">
        <w:r>
          <w:rPr>
            <w:color w:val="0000FF"/>
          </w:rPr>
          <w:t>Статья 11.1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2003, N 43, ст. 4108; 2021, N 1, ст. 17).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 xml:space="preserve">б)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по слуху: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lastRenderedPageBreak/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обеспечение возможности понимания и восприятия </w:t>
      </w:r>
      <w:proofErr w:type="gramStart"/>
      <w:r>
        <w:t>обучающимися</w:t>
      </w:r>
      <w:proofErr w:type="gramEnd"/>
      <w:r>
        <w:t xml:space="preserve"> на </w:t>
      </w:r>
      <w:proofErr w:type="spellStart"/>
      <w:r>
        <w:t>слухо</w:t>
      </w:r>
      <w:proofErr w:type="spellEnd"/>
      <w:r>
        <w:t>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использование с учетом речевого развития обучающихся разных форм словесной речи (устной, письменной, </w:t>
      </w:r>
      <w:proofErr w:type="spellStart"/>
      <w:r>
        <w:t>дактильной</w:t>
      </w:r>
      <w:proofErr w:type="spellEnd"/>
      <w:r>
        <w:t>) для обеспечения полноты и точности восприятия информации и организации речевого взаимодействия в процессе учебных занятий;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в) для </w:t>
      </w:r>
      <w:proofErr w:type="gramStart"/>
      <w:r>
        <w:t>обучающихся</w:t>
      </w:r>
      <w:proofErr w:type="gramEnd"/>
      <w:r>
        <w:t>, имеющих нарушения опорно-двигательного аппарата: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</w:t>
      </w:r>
    </w:p>
    <w:p w:rsidR="00C91011" w:rsidRDefault="00C91011">
      <w:pPr>
        <w:pStyle w:val="ConsPlusNormal"/>
        <w:spacing w:before="220"/>
        <w:ind w:firstLine="540"/>
        <w:jc w:val="both"/>
      </w:pPr>
      <w:proofErr w:type="spellStart"/>
      <w:r>
        <w:t>безбарьерную</w:t>
      </w:r>
      <w:proofErr w:type="spellEnd"/>
      <w:r>
        <w:t xml:space="preserve"> архитектурно-планировочную среду;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обеспечение возможности вербальной и невербальной коммуникации (для </w:t>
      </w:r>
      <w:proofErr w:type="gramStart"/>
      <w:r>
        <w:t>обучающихся</w:t>
      </w:r>
      <w:proofErr w:type="gramEnd"/>
      <w:r>
        <w:t xml:space="preserve"> с двигательными нарушениями в сочетании с грубыми нарушениями речи и коммуникации);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г) для </w:t>
      </w:r>
      <w:proofErr w:type="gramStart"/>
      <w:r>
        <w:t>обучающихся</w:t>
      </w:r>
      <w:proofErr w:type="gramEnd"/>
      <w:r>
        <w:t xml:space="preserve"> с тяжелыми нарушениями речи: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адаптация содержания теоретического материала в текстовом/ауди</w:t>
      </w:r>
      <w:proofErr w:type="gramStart"/>
      <w:r>
        <w:t>о-</w:t>
      </w:r>
      <w:proofErr w:type="gramEnd"/>
      <w:r>
        <w:t>/</w:t>
      </w:r>
      <w:proofErr w:type="spellStart"/>
      <w:r>
        <w:t>видеоформате</w:t>
      </w:r>
      <w:proofErr w:type="spellEnd"/>
      <w:r>
        <w:t xml:space="preserve">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обеспечение понимания обращенной речи (четкое, внятное проговаривание инструкций, коротких и ясных по содержанию);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нормативные речевые образцы (грамотная речь педагога (тренера, инструктора);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расширение пассивного и активного словаря </w:t>
      </w:r>
      <w:proofErr w:type="gramStart"/>
      <w:r>
        <w:t>обучающихся</w:t>
      </w:r>
      <w:proofErr w:type="gramEnd"/>
      <w:r>
        <w:t xml:space="preserve"> с тяжелыми нарушениями речи за счет освоения специальной терминологии;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д) для обучающихся с расстройствами аутистического спектра (РАС) - использование визуальных расписаний;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lastRenderedPageBreak/>
        <w:t xml:space="preserve">е) для </w:t>
      </w:r>
      <w:proofErr w:type="gramStart"/>
      <w:r>
        <w:t>обучающихся</w:t>
      </w:r>
      <w:proofErr w:type="gramEnd"/>
      <w:r>
        <w:t xml:space="preserve"> с задержкой психического развития: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</w:t>
      </w:r>
      <w:proofErr w:type="spellStart"/>
      <w:r>
        <w:t>саморегуляции</w:t>
      </w:r>
      <w:proofErr w:type="spellEnd"/>
      <w:r>
        <w:t xml:space="preserve"> деятельности и поведения;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использование специальных приемов и методов обучения;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дифференциация требований к процессу и результатам учебных занятий с учетом психофизических возможностей обучающихся;</w:t>
      </w:r>
    </w:p>
    <w:p w:rsidR="00C91011" w:rsidRDefault="00C91011">
      <w:pPr>
        <w:pStyle w:val="ConsPlusNormal"/>
        <w:spacing w:before="220"/>
        <w:ind w:firstLine="540"/>
        <w:jc w:val="both"/>
      </w:pPr>
      <w:proofErr w:type="gramStart"/>
      <w:r>
        <w:t xml:space="preserve">соблюдение оптимального режима физической нагрузки с учетом особенностей </w:t>
      </w:r>
      <w:proofErr w:type="spellStart"/>
      <w:r>
        <w:t>нейродинамики</w:t>
      </w:r>
      <w:proofErr w:type="spellEnd"/>
      <w:r>
        <w:t xml:space="preserve">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</w:t>
      </w:r>
      <w:proofErr w:type="spellStart"/>
      <w:r>
        <w:t>нейродинамики</w:t>
      </w:r>
      <w:proofErr w:type="spellEnd"/>
      <w:r>
        <w:t xml:space="preserve"> психических процессов обучающегося (быстрой истощаемости, низкой работоспособности, пониженного общего тонуса и другие), использование </w:t>
      </w:r>
      <w:proofErr w:type="spellStart"/>
      <w:r>
        <w:t>здоровьесберегающих</w:t>
      </w:r>
      <w:proofErr w:type="spellEnd"/>
      <w:r>
        <w:t xml:space="preserve"> и коррекционно-оздоровительных технологий, направленных на компенсацию нарушений моторики, пространственной ориентировки, внимания, </w:t>
      </w:r>
      <w:proofErr w:type="spellStart"/>
      <w:r>
        <w:t>скоординированности</w:t>
      </w:r>
      <w:proofErr w:type="spellEnd"/>
      <w:proofErr w:type="gramEnd"/>
      <w:r>
        <w:t xml:space="preserve"> межанализаторных систем (при реализации дополнительных общеразвивающих программ в области физической культуры и спорта);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ж) для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специально оборудованные "зоны отдыха" для снятия сенсорной и эмоциональной перегрузки;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выраженными сложными дефектами (тяжелыми и множественными нарушениями развития) (ТМНР) - психолого-педагогическое </w:t>
      </w:r>
      <w:proofErr w:type="spellStart"/>
      <w:r>
        <w:t>тьюторское</w:t>
      </w:r>
      <w:proofErr w:type="spellEnd"/>
      <w:r>
        <w:t xml:space="preserve"> сопровождение;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  <w:proofErr w:type="gramEnd"/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29. Численный состав объединения может быть уменьшен при включении в него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30. При реализации адаптированных дополнительных общеобразовательных программ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t>сурдопереводчиков</w:t>
      </w:r>
      <w:proofErr w:type="spellEnd"/>
      <w:r>
        <w:t xml:space="preserve"> и </w:t>
      </w:r>
      <w:proofErr w:type="spellStart"/>
      <w:r>
        <w:t>тифлосурдопереводчиков</w:t>
      </w:r>
      <w:proofErr w:type="spellEnd"/>
      <w:r>
        <w:t xml:space="preserve"> &lt;23&gt;.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lastRenderedPageBreak/>
        <w:t xml:space="preserve">&lt;23&gt; </w:t>
      </w:r>
      <w:hyperlink r:id="rId36">
        <w:r>
          <w:rPr>
            <w:color w:val="0000FF"/>
          </w:rPr>
          <w:t>Часть 11 статьи 79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1E88" w:rsidRDefault="000F1E88"/>
    <w:sectPr w:rsidR="000F1E88" w:rsidSect="009F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11"/>
    <w:rsid w:val="000F1E88"/>
    <w:rsid w:val="005A5DC6"/>
    <w:rsid w:val="007812B0"/>
    <w:rsid w:val="00C9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0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10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10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0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10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10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8441000D9535271E35E1A39C760F88FE0187A2C816B38CC0902EADBCB7A4FE00B221CCAC878B300EE425DDAE09CCF77D8537ADA7E3BDD5Dk4m1N" TargetMode="External"/><Relationship Id="rId18" Type="http://schemas.openxmlformats.org/officeDocument/2006/relationships/hyperlink" Target="consultantplus://offline/ref=C8441000D9535271E35E1A39C760F88FE0187A2C816B38CC0902EADBCB7A4FE00B221CCAC879B003E8425DDAE09CCF77D8537ADA7E3BDD5Dk4m1N" TargetMode="External"/><Relationship Id="rId26" Type="http://schemas.openxmlformats.org/officeDocument/2006/relationships/hyperlink" Target="consultantplus://offline/ref=C8441000D9535271E35E1A39C760F88FE0187A2C816B38CC0902EADBCB7A4FE00B221CCAC879B001EB425DDAE09CCF77D8537ADA7E3BDD5Dk4m1N" TargetMode="External"/><Relationship Id="rId21" Type="http://schemas.openxmlformats.org/officeDocument/2006/relationships/hyperlink" Target="consultantplus://offline/ref=C8441000D9535271E35E1A39C760F88FE0187A2C816B38CC0902EADBCB7A4FE00B221CCAC879B007E6425DDAE09CCF77D8537ADA7E3BDD5Dk4m1N" TargetMode="External"/><Relationship Id="rId34" Type="http://schemas.openxmlformats.org/officeDocument/2006/relationships/hyperlink" Target="consultantplus://offline/ref=C8441000D9535271E35E1A39C760F88FE0187A2C816B38CC0902EADBCB7A4FE00B221CCAC878B207E7425DDAE09CCF77D8537ADA7E3BDD5Dk4m1N" TargetMode="External"/><Relationship Id="rId7" Type="http://schemas.openxmlformats.org/officeDocument/2006/relationships/hyperlink" Target="consultantplus://offline/ref=C8441000D9535271E35E1A39C760F88FE0187B29826C38CC0902EADBCB7A4FE00B221CCAC879B206E9425DDAE09CCF77D8537ADA7E3BDD5Dk4m1N" TargetMode="External"/><Relationship Id="rId12" Type="http://schemas.openxmlformats.org/officeDocument/2006/relationships/hyperlink" Target="consultantplus://offline/ref=C8441000D9535271E35E1A39C760F88FE01A7029836E38CC0902EADBCB7A4FE00B221CCACA70B950BE0D5C86A6C8DC75DB5378D862k3mAN" TargetMode="External"/><Relationship Id="rId17" Type="http://schemas.openxmlformats.org/officeDocument/2006/relationships/hyperlink" Target="consultantplus://offline/ref=C8441000D9535271E35E1A39C760F88FE0187A2C816B38CC0902EADBCB7A4FE00B221CCAC879B60CEF425DDAE09CCF77D8537ADA7E3BDD5Dk4m1N" TargetMode="External"/><Relationship Id="rId25" Type="http://schemas.openxmlformats.org/officeDocument/2006/relationships/hyperlink" Target="consultantplus://offline/ref=C8441000D9535271E35E1A39C760F88FE0187A2C816B38CC0902EADBCB7A4FE0192244C6CA78AC04ED570B8BA6kCmAN" TargetMode="External"/><Relationship Id="rId33" Type="http://schemas.openxmlformats.org/officeDocument/2006/relationships/hyperlink" Target="consultantplus://offline/ref=C8441000D9535271E35E1A39C760F88FE01876258F6938CC0902EADBCB7A4FE00B221CC9CE7BB950BE0D5C86A6C8DC75DB5378D862k3mA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8441000D9535271E35E1A39C760F88FE71C72288E6B38CC0902EADBCB7A4FE00B221CCAC879B200E8425DDAE09CCF77D8537ADA7E3BDD5Dk4m1N" TargetMode="External"/><Relationship Id="rId20" Type="http://schemas.openxmlformats.org/officeDocument/2006/relationships/hyperlink" Target="consultantplus://offline/ref=C8441000D9535271E35E1A39C760F88FE0187A2C816B38CC0902EADBCB7A4FE00B221CCAC879B007E7425DDAE09CCF77D8537ADA7E3BDD5Dk4m1N" TargetMode="External"/><Relationship Id="rId29" Type="http://schemas.openxmlformats.org/officeDocument/2006/relationships/hyperlink" Target="consultantplus://offline/ref=C8441000D9535271E35E1A39C760F88FE0187A2C816B38CC0902EADBCB7A4FE0192244C6CA78AC04ED570B8BA6kCm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441000D9535271E35E1A39C760F88FE0187B29826C38CC0902EADBCB7A4FE00B221CCAC879B205EA425DDAE09CCF77D8537ADA7E3BDD5Dk4m1N" TargetMode="External"/><Relationship Id="rId11" Type="http://schemas.openxmlformats.org/officeDocument/2006/relationships/hyperlink" Target="consultantplus://offline/ref=C8441000D9535271E35E1A39C760F88FE0187A2C816B38CC0902EADBCB7A4FE00B221CC9C07AB950BE0D5C86A6C8DC75DB5378D862k3mAN" TargetMode="External"/><Relationship Id="rId24" Type="http://schemas.openxmlformats.org/officeDocument/2006/relationships/hyperlink" Target="consultantplus://offline/ref=C8441000D9535271E35E1A39C760F88FE0187A2C816B38CC0902EADBCB7A4FE00B221CCAC879B000E9425DDAE09CCF77D8537ADA7E3BDD5Dk4m1N" TargetMode="External"/><Relationship Id="rId32" Type="http://schemas.openxmlformats.org/officeDocument/2006/relationships/hyperlink" Target="consultantplus://offline/ref=C8441000D9535271E35E1A39C760F88FE0187A2C816B38CC0902EADBCB7A4FE00B221CCAC878B200EF425DDAE09CCF77D8537ADA7E3BDD5Dk4m1N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C8441000D9535271E35E1A39C760F88FE0187A2C816B38CC0902EADBCB7A4FE00B221CC9C97CB950BE0D5C86A6C8DC75DB5378D862k3mAN" TargetMode="External"/><Relationship Id="rId15" Type="http://schemas.openxmlformats.org/officeDocument/2006/relationships/hyperlink" Target="consultantplus://offline/ref=C8441000D9535271E35E1A39C760F88FE0187A2C816B38CC0902EADBCB7A4FE00B221CCAC878B204EF425DDAE09CCF77D8537ADA7E3BDD5Dk4m1N" TargetMode="External"/><Relationship Id="rId23" Type="http://schemas.openxmlformats.org/officeDocument/2006/relationships/hyperlink" Target="consultantplus://offline/ref=C8441000D9535271E35E1A39C760F88FE0187A2C816B38CC0902EADBCB7A4FE00B221CCAC879B000EF425DDAE09CCF77D8537ADA7E3BDD5Dk4m1N" TargetMode="External"/><Relationship Id="rId28" Type="http://schemas.openxmlformats.org/officeDocument/2006/relationships/hyperlink" Target="consultantplus://offline/ref=C8441000D9535271E35E1A39C760F88FE01B772C876838CC0902EADBCB7A4FE00B221CCAC879B205ED425DDAE09CCF77D8537ADA7E3BDD5Dk4m1N" TargetMode="External"/><Relationship Id="rId36" Type="http://schemas.openxmlformats.org/officeDocument/2006/relationships/hyperlink" Target="consultantplus://offline/ref=C8441000D9535271E35E1A39C760F88FE0187A2C816B38CC0902EADBCB7A4FE00B221CCAC878B200E7425DDAE09CCF77D8537ADA7E3BDD5Dk4m1N" TargetMode="External"/><Relationship Id="rId10" Type="http://schemas.openxmlformats.org/officeDocument/2006/relationships/hyperlink" Target="consultantplus://offline/ref=C8441000D9535271E35E1A39C760F88FE71D752C806B38CC0902EADBCB7A4FE0192244C6CA78AC04ED570B8BA6kCmAN" TargetMode="External"/><Relationship Id="rId19" Type="http://schemas.openxmlformats.org/officeDocument/2006/relationships/hyperlink" Target="consultantplus://offline/ref=C8441000D9535271E35E1A39C760F88FE0187A2C816B38CC0902EADBCB7A4FE00B221CCFCF7BB950BE0D5C86A6C8DC75DB5378D862k3mAN" TargetMode="External"/><Relationship Id="rId31" Type="http://schemas.openxmlformats.org/officeDocument/2006/relationships/hyperlink" Target="consultantplus://offline/ref=C8441000D9535271E35E1A39C760F88FE0187A2C816B38CC0902EADBCB7A4FE00B221CCFC970B950BE0D5C86A6C8DC75DB5378D862k3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441000D9535271E35E1A39C760F88FE7187B29836638CC0902EADBCB7A4FE0192244C6CA78AC04ED570B8BA6kCmAN" TargetMode="External"/><Relationship Id="rId14" Type="http://schemas.openxmlformats.org/officeDocument/2006/relationships/hyperlink" Target="consultantplus://offline/ref=C8441000D9535271E35E1A39C760F88FE0187A2C816B38CC0902EADBCB7A4FE00B221CCECA78B950BE0D5C86A6C8DC75DB5378D862k3mAN" TargetMode="External"/><Relationship Id="rId22" Type="http://schemas.openxmlformats.org/officeDocument/2006/relationships/hyperlink" Target="consultantplus://offline/ref=C8441000D9535271E35E1A39C760F88FE0187A2C816B38CC0902EADBCB7A4FE00B221CCAC879B002EA425DDAE09CCF77D8537ADA7E3BDD5Dk4m1N" TargetMode="External"/><Relationship Id="rId27" Type="http://schemas.openxmlformats.org/officeDocument/2006/relationships/hyperlink" Target="consultantplus://offline/ref=C8441000D9535271E35E1A39C760F88FE0187A2C816B38CC0902EADBCB7A4FE00B221CCFC97EB950BE0D5C86A6C8DC75DB5378D862k3mAN" TargetMode="External"/><Relationship Id="rId30" Type="http://schemas.openxmlformats.org/officeDocument/2006/relationships/hyperlink" Target="consultantplus://offline/ref=C8441000D9535271E35E1A39C760F88FE0187A2C816B38CC0902EADBCB7A4FE00B221CCFCA79B950BE0D5C86A6C8DC75DB5378D862k3mAN" TargetMode="External"/><Relationship Id="rId35" Type="http://schemas.openxmlformats.org/officeDocument/2006/relationships/hyperlink" Target="consultantplus://offline/ref=C8441000D9535271E35E1A39C760F88FE01876258F6938CC0902EADBCB7A4FE00B221CC8CD72E655AB1C0489A5D7C277C74F7ADAk6m3N" TargetMode="External"/><Relationship Id="rId8" Type="http://schemas.openxmlformats.org/officeDocument/2006/relationships/hyperlink" Target="consultantplus://offline/ref=C8441000D9535271E35E1A39C760F88FE71D752F866E38CC0902EADBCB7A4FE0192244C6CA78AC04ED570B8BA6kCmA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4983</Words>
  <Characters>28405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Просвирина Дарья Владимировна</dc:creator>
  <cp:lastModifiedBy>Просвирина Дарья Владимировна</cp:lastModifiedBy>
  <cp:revision>1</cp:revision>
  <dcterms:created xsi:type="dcterms:W3CDTF">2023-02-21T13:38:00Z</dcterms:created>
  <dcterms:modified xsi:type="dcterms:W3CDTF">2023-02-21T13:39:00Z</dcterms:modified>
</cp:coreProperties>
</file>